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7" w:rsidRPr="00541EAD" w:rsidRDefault="00147F6E">
      <w:pPr>
        <w:rPr>
          <w:u w:val="single"/>
        </w:rPr>
      </w:pPr>
      <w:r w:rsidRPr="00541EAD">
        <w:rPr>
          <w:u w:val="single"/>
        </w:rPr>
        <w:t>Instrumental fire-climate relationships with summer precipitation:</w:t>
      </w:r>
    </w:p>
    <w:p w:rsidR="00147F6E" w:rsidRDefault="00147F6E"/>
    <w:p w:rsidR="00541EAD" w:rsidRDefault="00541EAD">
      <w:r>
        <w:fldChar w:fldCharType="begin"/>
      </w:r>
      <w:r>
        <w:instrText xml:space="preserve"> ADDIN REFMGR.CITE &lt;Refman&gt;&lt;Cite&gt;&lt;Author&gt;Crimmins&lt;/Author&gt;&lt;Year&gt;2004&lt;/Year&gt;&lt;RecNum&gt;2325&lt;/RecNum&gt;&lt;IDText&gt;Interactions between antecedent climate and wildfire variability across south-eastern Arizona&lt;/IDText&gt;&lt;MDL Ref_Type="Journal"&gt;&lt;Ref_Type&gt;Journal&lt;/Ref_Type&gt;&lt;Ref_ID&gt;2325&lt;/Ref_ID&gt;&lt;Title_Primary&gt;Interactions between antecedent climate and wildfire variability across south-eastern Arizona&lt;/Title_Primary&gt;&lt;Authors_Primary&gt;Crimmins,M.A.&lt;/Authors_Primary&gt;&lt;Authors_Primary&gt;Comrie,A.C.&lt;/Authors_Primary&gt;&lt;Date_Primary&gt;2004&lt;/Date_Primary&gt;&lt;Keywords&gt;AMERICAN SOUTHWEST&lt;/Keywords&gt;&lt;Keywords&gt;ANOMALIES&lt;/Keywords&gt;&lt;Keywords&gt;Arizona&lt;/Keywords&gt;&lt;Keywords&gt;climate&lt;/Keywords&gt;&lt;Keywords&gt;fire&lt;/Keywords&gt;&lt;Keywords&gt;GRADIENT&lt;/Keywords&gt;&lt;Keywords&gt;MODULATION&lt;/Keywords&gt;&lt;Keywords&gt;OSCILLATION&lt;/Keywords&gt;&lt;Keywords&gt;VARIABILITY&lt;/Keywords&gt;&lt;Keywords&gt;WESTERN UNITED-STATES&lt;/Keywords&gt;&lt;Keywords&gt;wildfire&lt;/Keywords&gt;&lt;Keywords&gt;WINTER PRECIPITATION&lt;/Keywords&gt;&lt;Reprint&gt;In File&lt;/Reprint&gt;&lt;Start_Page&gt;455&lt;/Start_Page&gt;&lt;End_Page&gt;466&lt;/End_Page&gt;&lt;Periodical&gt;International Journal of Wildland Fire&lt;/Periodical&gt;&lt;Volume&gt;13&lt;/Volume&gt;&lt;Issue&gt;4&lt;/Issue&gt;&lt;Web_URL&gt;ISI:000225714100006&lt;/Web_URL&gt;&lt;ZZ_JournalFull&gt;&lt;f name="System"&gt;International Journal of Wildland Fire&lt;/f&gt;&lt;/ZZ_JournalFull&gt;&lt;ZZ_WorkformID&gt;1&lt;/ZZ_WorkformID&gt;&lt;/MDL&gt;&lt;/Cite&gt;&lt;/Refman&gt;</w:instrText>
      </w:r>
      <w:r>
        <w:fldChar w:fldCharType="separate"/>
      </w:r>
      <w:r>
        <w:rPr>
          <w:noProof/>
        </w:rPr>
        <w:t>(Crimmins and Comrie, 2004)</w:t>
      </w:r>
      <w:r>
        <w:fldChar w:fldCharType="end"/>
      </w:r>
    </w:p>
    <w:p w:rsidR="00147F6E" w:rsidRDefault="00147F6E">
      <w:r>
        <w:t xml:space="preserve">Summer (JAS) precipitation </w:t>
      </w:r>
      <w:r w:rsidR="0027039A">
        <w:t xml:space="preserve">one year prior to the fire year </w:t>
      </w:r>
      <w:r>
        <w:t xml:space="preserve">is positively associated with total area burned in </w:t>
      </w:r>
      <w:r w:rsidR="007E102F">
        <w:t xml:space="preserve">upper elevations (&gt; 1500 m) in </w:t>
      </w:r>
      <w:r>
        <w:t xml:space="preserve">southeastern Arizona </w:t>
      </w:r>
      <w:r>
        <w:fldChar w:fldCharType="begin"/>
      </w:r>
      <w:r w:rsidR="00541EAD">
        <w:instrText xml:space="preserve"> ADDIN REFMGR.CITE &lt;Refman&gt;&lt;Cite&gt;&lt;Author&gt;Crimmins&lt;/Author&gt;&lt;Year&gt;2004&lt;/Year&gt;&lt;RecNum&gt;2325&lt;/RecNum&gt;&lt;IDText&gt;Interactions between antecedent climate and wildfire variability across south-eastern Arizona&lt;/IDText&gt;&lt;MDL Ref_Type="Journal"&gt;&lt;Ref_Type&gt;Journal&lt;/Ref_Type&gt;&lt;Ref_ID&gt;2325&lt;/Ref_ID&gt;&lt;Title_Primary&gt;Interactions between antecedent climate and wildfire variability across south-eastern Arizona&lt;/Title_Primary&gt;&lt;Authors_Primary&gt;Crimmins,M.A.&lt;/Authors_Primary&gt;&lt;Authors_Primary&gt;Comrie,A.C.&lt;/Authors_Primary&gt;&lt;Date_Primary&gt;2004&lt;/Date_Primary&gt;&lt;Keywords&gt;AMERICAN SOUTHWEST&lt;/Keywords&gt;&lt;Keywords&gt;ANOMALIES&lt;/Keywords&gt;&lt;Keywords&gt;Arizona&lt;/Keywords&gt;&lt;Keywords&gt;climate&lt;/Keywords&gt;&lt;Keywords&gt;fire&lt;/Keywords&gt;&lt;Keywords&gt;GRADIENT&lt;/Keywords&gt;&lt;Keywords&gt;MODULATION&lt;/Keywords&gt;&lt;Keywords&gt;OSCILLATION&lt;/Keywords&gt;&lt;Keywords&gt;VARIABILITY&lt;/Keywords&gt;&lt;Keywords&gt;WESTERN UNITED-STATES&lt;/Keywords&gt;&lt;Keywords&gt;wildfire&lt;/Keywords&gt;&lt;Keywords&gt;WINTER PRECIPITATION&lt;/Keywords&gt;&lt;Reprint&gt;In File&lt;/Reprint&gt;&lt;Start_Page&gt;455&lt;/Start_Page&gt;&lt;End_Page&gt;466&lt;/End_Page&gt;&lt;Periodical&gt;International Journal of Wildland Fire&lt;/Periodical&gt;&lt;Volume&gt;13&lt;/Volume&gt;&lt;Issue&gt;4&lt;/Issue&gt;&lt;Web_URL&gt;ISI:000225714100006&lt;/Web_URL&gt;&lt;ZZ_JournalFull&gt;&lt;f name="System"&gt;International Journal of Wildland Fire&lt;/f&gt;&lt;/ZZ_JournalFull&gt;&lt;ZZ_WorkformID&gt;1&lt;/ZZ_WorkformID&gt;&lt;/MDL&gt;&lt;/Cite&gt;&lt;/Refman&gt;</w:instrText>
      </w:r>
      <w:r>
        <w:fldChar w:fldCharType="separate"/>
      </w:r>
      <w:r>
        <w:rPr>
          <w:noProof/>
        </w:rPr>
        <w:t>(Crimmins and Comrie, 2004)</w:t>
      </w:r>
      <w:r>
        <w:fldChar w:fldCharType="end"/>
      </w:r>
      <w:r>
        <w:t xml:space="preserve">.  </w:t>
      </w:r>
    </w:p>
    <w:p w:rsidR="001C79AF" w:rsidRPr="001C79AF" w:rsidRDefault="0027039A" w:rsidP="001C79AF">
      <w:pPr>
        <w:rPr>
          <w:rFonts w:ascii="Times New Roman" w:eastAsia="Times New Roman" w:hAnsi="Times New Roman" w:cs="Times New Roman"/>
          <w:sz w:val="25"/>
          <w:szCs w:val="25"/>
        </w:rPr>
      </w:pPr>
      <w:r>
        <w:t>“</w:t>
      </w:r>
      <w:r w:rsidR="001C79AF" w:rsidRPr="001C79AF">
        <w:rPr>
          <w:rFonts w:ascii="Times New Roman" w:eastAsia="Times New Roman" w:hAnsi="Times New Roman" w:cs="Times New Roman"/>
          <w:sz w:val="25"/>
          <w:szCs w:val="25"/>
        </w:rPr>
        <w:t>Positive correlations between lagged precipitation and total</w:t>
      </w:r>
      <w:r w:rsidR="001C79A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C79AF" w:rsidRPr="001C79AF">
        <w:rPr>
          <w:rFonts w:ascii="Times New Roman" w:eastAsia="Times New Roman" w:hAnsi="Times New Roman" w:cs="Times New Roman"/>
          <w:sz w:val="25"/>
          <w:szCs w:val="25"/>
        </w:rPr>
        <w:t>area burned highlight the importance of climate in regulating fine fuel production for both high and low elevation</w:t>
      </w:r>
      <w:r w:rsidR="001C79A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C79AF" w:rsidRPr="001C79AF">
        <w:rPr>
          <w:rFonts w:ascii="Times New Roman" w:eastAsia="Times New Roman" w:hAnsi="Times New Roman" w:cs="Times New Roman"/>
          <w:sz w:val="25"/>
          <w:szCs w:val="25"/>
        </w:rPr>
        <w:t xml:space="preserve">fires. </w:t>
      </w:r>
    </w:p>
    <w:p w:rsidR="0027039A" w:rsidRPr="0027039A" w:rsidRDefault="0027039A" w:rsidP="0027039A">
      <w:pPr>
        <w:rPr>
          <w:rFonts w:ascii="Times New Roman" w:eastAsia="Times New Roman" w:hAnsi="Times New Roman" w:cs="Times New Roman"/>
          <w:sz w:val="25"/>
          <w:szCs w:val="25"/>
        </w:rPr>
      </w:pPr>
      <w:r w:rsidRPr="0027039A">
        <w:rPr>
          <w:rFonts w:ascii="Times New Roman" w:eastAsia="Times New Roman" w:hAnsi="Times New Roman" w:cs="Times New Roman"/>
          <w:sz w:val="25"/>
          <w:szCs w:val="25"/>
        </w:rPr>
        <w:t>Larger low elevation fires were actually associated with wet antecedent conditions until just before the fire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7039A">
        <w:rPr>
          <w:rFonts w:ascii="Times New Roman" w:eastAsia="Times New Roman" w:hAnsi="Times New Roman" w:cs="Times New Roman"/>
          <w:sz w:val="25"/>
          <w:szCs w:val="25"/>
        </w:rPr>
        <w:t>season. Larger high elevation fires were associated with wet conditions during seasons up to 3 years before the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7039A">
        <w:rPr>
          <w:rFonts w:ascii="Times New Roman" w:eastAsia="Times New Roman" w:hAnsi="Times New Roman" w:cs="Times New Roman"/>
          <w:sz w:val="25"/>
          <w:szCs w:val="25"/>
        </w:rPr>
        <w:t>fire season.</w:t>
      </w:r>
      <w:r>
        <w:rPr>
          <w:rFonts w:ascii="Times New Roman" w:eastAsia="Times New Roman" w:hAnsi="Times New Roman" w:cs="Times New Roman"/>
          <w:sz w:val="25"/>
          <w:szCs w:val="25"/>
        </w:rPr>
        <w:t>”</w:t>
      </w:r>
    </w:p>
    <w:p w:rsidR="00147F6E" w:rsidRDefault="00147F6E"/>
    <w:p w:rsidR="0027039A" w:rsidRDefault="0027039A">
      <w:bookmarkStart w:id="0" w:name="_GoBack"/>
      <w:bookmarkEnd w:id="0"/>
    </w:p>
    <w:p w:rsidR="00541EAD" w:rsidRDefault="00541EAD" w:rsidP="00541EAD">
      <w:r>
        <w:fldChar w:fldCharType="begin"/>
      </w:r>
      <w:r>
        <w:instrText xml:space="preserve"> ADDIN REFMGR.CITE &lt;Refman&gt;&lt;Cite&gt;&lt;Author&gt;Littell&lt;/Author&gt;&lt;Year&gt;2009&lt;/Year&gt;&lt;RecNum&gt;3181&lt;/RecNum&gt;&lt;IDText&gt;Climate and wildfire area burned in western U. S. ecoprovinces, 1916-2003&lt;/IDText&gt;&lt;MDL Ref_Type="Journal"&gt;&lt;Ref_Type&gt;Journal&lt;/Ref_Type&gt;&lt;Ref_ID&gt;3181&lt;/Ref_ID&gt;&lt;Title_Primary&gt;Climate and wildfire area burned in western U. S. ecoprovinces, 1916-2003&lt;/Title_Primary&gt;&lt;Authors_Primary&gt;Littell,Jeremy S.&lt;/Authors_Primary&gt;&lt;Authors_Primary&gt;McKenzie,Donald&lt;/Authors_Primary&gt;&lt;Authors_Primary&gt;Peterson,David L.&lt;/Authors_Primary&gt;&lt;Authors_Primary&gt;Westerling,Anthony L.&lt;/Authors_Primary&gt;&lt;Date_Primary&gt;2009&lt;/Date_Primary&gt;&lt;Keywords&gt;AREA&lt;/Keywords&gt;&lt;Keywords&gt;area burned&lt;/Keywords&gt;&lt;Keywords&gt;climate&lt;/Keywords&gt;&lt;Keywords&gt;wildfire&lt;/Keywords&gt;&lt;Reprint&gt;In File&lt;/Reprint&gt;&lt;Start_Page&gt;1003&lt;/Start_Page&gt;&lt;End_Page&gt;1021&lt;/End_Page&gt;&lt;Periodical&gt;Ecological Applications&lt;/Periodical&gt;&lt;Volume&gt;19&lt;/Volume&gt;&lt;Issue&gt;4&lt;/Issue&gt;&lt;Web_URL&gt;WOS:000266281400015&lt;/Web_URL&gt;&lt;ZZ_JournalFull&gt;&lt;f name="System"&gt;Ecological Applications&lt;/f&gt;&lt;/ZZ_JournalFull&gt;&lt;ZZ_WorkformID&gt;1&lt;/ZZ_WorkformID&gt;&lt;/MDL&gt;&lt;/Cite&gt;&lt;/Refman&gt;</w:instrText>
      </w:r>
      <w:r>
        <w:fldChar w:fldCharType="separate"/>
      </w:r>
      <w:r>
        <w:rPr>
          <w:noProof/>
        </w:rPr>
        <w:t>(Littell et al., 2009)</w:t>
      </w:r>
      <w:r>
        <w:fldChar w:fldCharType="end"/>
      </w:r>
    </w:p>
    <w:p w:rsidR="00541EAD" w:rsidRDefault="00541EAD" w:rsidP="00541EAD">
      <w:r>
        <w:t xml:space="preserve">“Grass- and shrub-dominated </w:t>
      </w:r>
      <w:proofErr w:type="spellStart"/>
      <w:r>
        <w:t>ecoprovinces</w:t>
      </w:r>
      <w:proofErr w:type="spellEnd"/>
      <w:r>
        <w:t xml:space="preserve"> had positive relationships with antecedent precipitation or PDSI.”</w:t>
      </w:r>
    </w:p>
    <w:p w:rsidR="00541EAD" w:rsidRPr="007E102F" w:rsidRDefault="00541EAD" w:rsidP="00541EAD">
      <w:pPr>
        <w:rPr>
          <w:rFonts w:ascii="Times New Roman" w:eastAsia="Times New Roman" w:hAnsi="Times New Roman" w:cs="Times New Roman"/>
        </w:rPr>
      </w:pPr>
      <w:r>
        <w:t>“</w:t>
      </w:r>
      <w:r w:rsidRPr="007E102F">
        <w:rPr>
          <w:rFonts w:ascii="Times New Roman" w:eastAsia="Times New Roman" w:hAnsi="Times New Roman" w:cs="Times New Roman"/>
        </w:rPr>
        <w:t>The importance of antecedent climate (summer drought in forested</w:t>
      </w:r>
      <w:r>
        <w:rPr>
          <w:rFonts w:ascii="Times New Roman" w:eastAsia="Times New Roman" w:hAnsi="Times New Roman" w:cs="Times New Roman"/>
        </w:rPr>
        <w:t xml:space="preserve"> </w:t>
      </w:r>
      <w:r w:rsidRPr="007E102F">
        <w:rPr>
          <w:rFonts w:ascii="Times New Roman" w:eastAsia="Times New Roman" w:hAnsi="Times New Roman" w:cs="Times New Roman"/>
        </w:rPr>
        <w:t>ecosystems and antecedent winter precipitation in shrub and grassland ecosystems) indicates</w:t>
      </w:r>
      <w:r>
        <w:rPr>
          <w:rFonts w:ascii="Times New Roman" w:eastAsia="Times New Roman" w:hAnsi="Times New Roman" w:cs="Times New Roman"/>
        </w:rPr>
        <w:t xml:space="preserve"> </w:t>
      </w:r>
      <w:r w:rsidRPr="007E102F">
        <w:rPr>
          <w:rFonts w:ascii="Times New Roman" w:eastAsia="Times New Roman" w:hAnsi="Times New Roman" w:cs="Times New Roman"/>
        </w:rPr>
        <w:t>that the mechanism behind the observed fire–climate relationships is climatic preconditioning</w:t>
      </w:r>
      <w:r>
        <w:rPr>
          <w:rFonts w:ascii="Times New Roman" w:eastAsia="Times New Roman" w:hAnsi="Times New Roman" w:cs="Times New Roman"/>
        </w:rPr>
        <w:t xml:space="preserve"> </w:t>
      </w:r>
      <w:r w:rsidRPr="007E102F">
        <w:rPr>
          <w:rFonts w:ascii="Times New Roman" w:eastAsia="Times New Roman" w:hAnsi="Times New Roman" w:cs="Times New Roman"/>
        </w:rPr>
        <w:t>of large areas of low fuel moisture via drying of existing fuels or fuel production and drying.</w:t>
      </w:r>
      <w:r>
        <w:rPr>
          <w:rFonts w:ascii="Times New Roman" w:eastAsia="Times New Roman" w:hAnsi="Times New Roman" w:cs="Times New Roman"/>
        </w:rPr>
        <w:t>”</w:t>
      </w:r>
    </w:p>
    <w:p w:rsidR="00541EAD" w:rsidRDefault="00541EAD"/>
    <w:p w:rsidR="00541EAD" w:rsidRDefault="00541EAD"/>
    <w:p w:rsidR="0027039A" w:rsidRDefault="0027039A"/>
    <w:p w:rsidR="00541EAD" w:rsidRPr="00541EAD" w:rsidRDefault="00147F6E" w:rsidP="00541EAD">
      <w:pPr>
        <w:jc w:val="center"/>
        <w:rPr>
          <w:rFonts w:ascii="Calibri" w:hAnsi="Calibri"/>
          <w:noProof/>
        </w:rPr>
      </w:pPr>
      <w:r>
        <w:fldChar w:fldCharType="begin"/>
      </w:r>
      <w:r>
        <w:instrText xml:space="preserve"> ADDIN REFMGR.REFLIST </w:instrText>
      </w:r>
      <w:r>
        <w:fldChar w:fldCharType="separate"/>
      </w:r>
      <w:r w:rsidR="00541EAD" w:rsidRPr="00541EAD">
        <w:rPr>
          <w:rFonts w:ascii="Calibri" w:hAnsi="Calibri"/>
          <w:noProof/>
        </w:rPr>
        <w:t>References</w:t>
      </w:r>
    </w:p>
    <w:p w:rsidR="00541EAD" w:rsidRPr="00541EAD" w:rsidRDefault="00541EAD" w:rsidP="00541EAD">
      <w:pPr>
        <w:jc w:val="center"/>
        <w:rPr>
          <w:rFonts w:ascii="Calibri" w:hAnsi="Calibri"/>
          <w:noProof/>
        </w:rPr>
      </w:pPr>
    </w:p>
    <w:p w:rsidR="00541EAD" w:rsidRDefault="00541EAD" w:rsidP="00541EAD">
      <w:pPr>
        <w:tabs>
          <w:tab w:val="left" w:pos="0"/>
        </w:tabs>
        <w:spacing w:after="24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Crimmins, M.A., Comrie, A.C., 2004. Interactions between antecedent climate and wildfire variability across south-eastern Arizona. International Journal of Wildland Fire 13, 455-466.</w:t>
      </w:r>
    </w:p>
    <w:p w:rsidR="00541EAD" w:rsidRDefault="00541EAD" w:rsidP="00541EAD">
      <w:pPr>
        <w:tabs>
          <w:tab w:val="left" w:pos="0"/>
        </w:tabs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Littell, J.S., McKenzie, D., Peterson, D.L., Westerling, A.L., 2009. Climate and wildfire area burned in western U. S. ecoprovinces, 1916-2003. Ecological Applications 19, 1003-1021.</w:t>
      </w:r>
    </w:p>
    <w:p w:rsidR="00541EAD" w:rsidRDefault="00541EAD" w:rsidP="00541EAD">
      <w:pPr>
        <w:tabs>
          <w:tab w:val="left" w:pos="0"/>
        </w:tabs>
        <w:spacing w:after="0" w:line="240" w:lineRule="auto"/>
        <w:rPr>
          <w:rFonts w:ascii="Calibri" w:hAnsi="Calibri"/>
          <w:noProof/>
        </w:rPr>
      </w:pPr>
    </w:p>
    <w:p w:rsidR="00147F6E" w:rsidRDefault="00147F6E">
      <w:r>
        <w:fldChar w:fldCharType="end"/>
      </w:r>
    </w:p>
    <w:p w:rsidR="007E102F" w:rsidRDefault="007E102F"/>
    <w:p w:rsidR="007E102F" w:rsidRDefault="007E102F"/>
    <w:sectPr w:rsidR="007E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ellis_rm12&lt;/item&gt;&lt;/Libraries&gt;&lt;/ENLibraries&gt;"/>
  </w:docVars>
  <w:rsids>
    <w:rsidRoot w:val="00147F6E"/>
    <w:rsid w:val="00147F6E"/>
    <w:rsid w:val="001C79AF"/>
    <w:rsid w:val="0027039A"/>
    <w:rsid w:val="00472F9E"/>
    <w:rsid w:val="00541EAD"/>
    <w:rsid w:val="006929CD"/>
    <w:rsid w:val="007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ellisqm</dc:creator>
  <cp:lastModifiedBy>ellisqm</cp:lastModifiedBy>
  <cp:revision>4</cp:revision>
  <dcterms:created xsi:type="dcterms:W3CDTF">2014-09-12T21:27:00Z</dcterms:created>
  <dcterms:modified xsi:type="dcterms:W3CDTF">2014-09-12T21:57:00Z</dcterms:modified>
</cp:coreProperties>
</file>